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D5" w:rsidRDefault="00802CD5">
      <w:pPr>
        <w:rPr>
          <w:b/>
          <w:sz w:val="40"/>
        </w:rPr>
      </w:pPr>
      <w:bookmarkStart w:id="0" w:name="_GoBack"/>
      <w:bookmarkEnd w:id="0"/>
    </w:p>
    <w:p w:rsidR="0042051A" w:rsidRDefault="0042051A">
      <w:pPr>
        <w:rPr>
          <w:b/>
          <w:color w:val="4F81BD" w:themeColor="accent1"/>
          <w:sz w:val="40"/>
        </w:rPr>
      </w:pPr>
    </w:p>
    <w:p w:rsidR="0042051A" w:rsidRPr="0042051A" w:rsidRDefault="00802CD5" w:rsidP="0042051A">
      <w:pPr>
        <w:rPr>
          <w:b/>
        </w:rPr>
      </w:pPr>
      <w:r w:rsidRPr="00802CD5">
        <w:rPr>
          <w:b/>
          <w:color w:val="4F81BD" w:themeColor="accent1"/>
          <w:sz w:val="40"/>
        </w:rPr>
        <w:t xml:space="preserve">2018-19 CNYRIC Data Portfolio: </w:t>
      </w:r>
      <w:r w:rsidR="008034DB" w:rsidRPr="00802CD5">
        <w:rPr>
          <w:b/>
          <w:color w:val="4F81BD" w:themeColor="accent1"/>
          <w:sz w:val="40"/>
        </w:rPr>
        <w:t xml:space="preserve">3-8 </w:t>
      </w:r>
      <w:r w:rsidRPr="00802CD5">
        <w:rPr>
          <w:b/>
          <w:color w:val="4F81BD" w:themeColor="accent1"/>
          <w:sz w:val="40"/>
        </w:rPr>
        <w:t>ELA and Math</w:t>
      </w:r>
      <w:r w:rsidR="008034DB" w:rsidRPr="00802CD5">
        <w:rPr>
          <w:b/>
        </w:rPr>
        <w:br/>
      </w:r>
    </w:p>
    <w:p w:rsidR="001B0541" w:rsidRPr="00802CD5" w:rsidRDefault="001B0541" w:rsidP="0042051A">
      <w:pPr>
        <w:spacing w:line="360" w:lineRule="auto"/>
        <w:rPr>
          <w:b/>
          <w:color w:val="4F81BD" w:themeColor="accent1"/>
          <w:sz w:val="28"/>
        </w:rPr>
      </w:pPr>
      <w:r w:rsidRPr="00802CD5">
        <w:rPr>
          <w:b/>
          <w:color w:val="4F81BD" w:themeColor="accent1"/>
          <w:sz w:val="28"/>
        </w:rPr>
        <w:t>Overview</w:t>
      </w:r>
    </w:p>
    <w:p w:rsidR="00330B17" w:rsidRDefault="00137FBB" w:rsidP="0042051A">
      <w:pPr>
        <w:spacing w:line="360" w:lineRule="auto"/>
      </w:pPr>
      <w:r>
        <w:t>The 3-8 Data Portfolio provides a big picture view of the 3-8</w:t>
      </w:r>
      <w:r w:rsidR="005D6AEC">
        <w:t xml:space="preserve"> ELA and Math</w:t>
      </w:r>
      <w:r>
        <w:t xml:space="preserve"> state </w:t>
      </w:r>
      <w:r w:rsidR="00802CD5">
        <w:t>assessment results from the 2018-19</w:t>
      </w:r>
      <w:r>
        <w:t xml:space="preserve"> school year.  </w:t>
      </w:r>
      <w:r w:rsidR="00F27877">
        <w:t xml:space="preserve">The portfolio </w:t>
      </w:r>
      <w:r w:rsidR="00802CD5">
        <w:t>is</w:t>
      </w:r>
      <w:r w:rsidR="00F27877">
        <w:t xml:space="preserve"> designed to make </w:t>
      </w:r>
      <w:r w:rsidR="00802CD5">
        <w:t>information</w:t>
      </w:r>
      <w:r w:rsidR="00F27877">
        <w:t xml:space="preserve"> accessible through </w:t>
      </w:r>
      <w:r w:rsidR="00802CD5">
        <w:t>its</w:t>
      </w:r>
      <w:r w:rsidR="00F27877">
        <w:t xml:space="preserve"> visual presentation</w:t>
      </w:r>
      <w:r w:rsidR="00802CD5">
        <w:t xml:space="preserve"> of data</w:t>
      </w:r>
      <w:r w:rsidR="00F27877">
        <w:t xml:space="preserve">.  It also allows users to compare different data </w:t>
      </w:r>
      <w:r w:rsidR="00802CD5">
        <w:t xml:space="preserve">sets </w:t>
      </w:r>
      <w:r w:rsidR="00F27877">
        <w:t xml:space="preserve">to provide a context for deeper understanding.  </w:t>
      </w:r>
    </w:p>
    <w:p w:rsidR="001B0541" w:rsidRDefault="001B0541" w:rsidP="0042051A">
      <w:pPr>
        <w:spacing w:line="360" w:lineRule="auto"/>
      </w:pPr>
      <w:r>
        <w:t>Below are some basic questions to guide the use of the portfolio:</w:t>
      </w:r>
    </w:p>
    <w:p w:rsidR="00D71232" w:rsidRPr="00802CD5" w:rsidRDefault="00D71232" w:rsidP="0042051A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802CD5">
        <w:rPr>
          <w:b/>
          <w:i/>
        </w:rPr>
        <w:t>What is the source of the data used to generate the charts and graphs?</w:t>
      </w:r>
    </w:p>
    <w:p w:rsidR="00D71232" w:rsidRPr="001C20B0" w:rsidRDefault="00D71232" w:rsidP="0042051A">
      <w:pPr>
        <w:pStyle w:val="ListParagraph"/>
        <w:spacing w:line="360" w:lineRule="auto"/>
      </w:pPr>
      <w:r w:rsidRPr="001C20B0">
        <w:t xml:space="preserve">The data comes directly from the </w:t>
      </w:r>
      <w:proofErr w:type="spellStart"/>
      <w:r w:rsidRPr="001C20B0">
        <w:t>Cognos</w:t>
      </w:r>
      <w:proofErr w:type="spellEnd"/>
      <w:r w:rsidRPr="001C20B0">
        <w:t xml:space="preserve"> reports which are populated with data provided by NYSED.</w:t>
      </w:r>
      <w:r w:rsidR="00133166">
        <w:t xml:space="preserve">  Need/Resource category data was</w:t>
      </w:r>
      <w:r w:rsidR="00E0281D">
        <w:t xml:space="preserve"> taken from the </w:t>
      </w:r>
      <w:r w:rsidR="00133166" w:rsidRPr="00133166">
        <w:t>SED Media file.</w:t>
      </w:r>
    </w:p>
    <w:p w:rsidR="001B0541" w:rsidRPr="00802CD5" w:rsidRDefault="001B0541" w:rsidP="0042051A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802CD5">
        <w:rPr>
          <w:b/>
          <w:i/>
        </w:rPr>
        <w:t xml:space="preserve">Can I see the data in </w:t>
      </w:r>
      <w:r w:rsidR="00802CD5" w:rsidRPr="00802CD5">
        <w:rPr>
          <w:b/>
          <w:i/>
        </w:rPr>
        <w:t>other formats?</w:t>
      </w:r>
    </w:p>
    <w:p w:rsidR="001B0541" w:rsidRPr="001C20B0" w:rsidRDefault="00F27877" w:rsidP="0042051A">
      <w:pPr>
        <w:pStyle w:val="ListParagraph"/>
        <w:spacing w:line="360" w:lineRule="auto"/>
      </w:pPr>
      <w:r>
        <w:t xml:space="preserve">The data tables for each chart </w:t>
      </w:r>
      <w:r w:rsidR="001B0541" w:rsidRPr="001C20B0">
        <w:t>are provided in th</w:t>
      </w:r>
      <w:r>
        <w:t>e last section of the document</w:t>
      </w:r>
      <w:r w:rsidR="001B0541" w:rsidRPr="001C20B0">
        <w:t>.</w:t>
      </w:r>
    </w:p>
    <w:p w:rsidR="002F5925" w:rsidRPr="00802CD5" w:rsidRDefault="00D71232" w:rsidP="0042051A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802CD5">
        <w:rPr>
          <w:b/>
          <w:i/>
        </w:rPr>
        <w:t>Where can I get more specific data?</w:t>
      </w:r>
    </w:p>
    <w:p w:rsidR="00D71232" w:rsidRDefault="00796630" w:rsidP="0042051A">
      <w:pPr>
        <w:pStyle w:val="ListParagraph"/>
        <w:spacing w:line="360" w:lineRule="auto"/>
      </w:pPr>
      <w:r>
        <w:t xml:space="preserve">Many </w:t>
      </w:r>
      <w:proofErr w:type="spellStart"/>
      <w:r>
        <w:t>Cognos</w:t>
      </w:r>
      <w:proofErr w:type="spellEnd"/>
      <w:r w:rsidR="00F27877">
        <w:t xml:space="preserve"> reports make it possible to drill through this data. </w:t>
      </w:r>
      <w:r w:rsidR="00802CD5">
        <w:t xml:space="preserve"> Please contact the Educational Data Services</w:t>
      </w:r>
      <w:r w:rsidR="00D71232" w:rsidRPr="001C20B0">
        <w:t xml:space="preserve"> </w:t>
      </w:r>
      <w:r w:rsidR="00F27877">
        <w:t xml:space="preserve">Team </w:t>
      </w:r>
      <w:r w:rsidR="00802CD5">
        <w:t>with any</w:t>
      </w:r>
      <w:r w:rsidR="00D71232" w:rsidRPr="001C20B0">
        <w:t xml:space="preserve"> </w:t>
      </w:r>
      <w:r w:rsidR="00802CD5">
        <w:t xml:space="preserve">questions about </w:t>
      </w:r>
      <w:r w:rsidR="00D71232" w:rsidRPr="001C20B0">
        <w:t>da</w:t>
      </w:r>
      <w:r w:rsidR="00802CD5">
        <w:t>ta analysis and facilitation</w:t>
      </w:r>
      <w:r w:rsidR="00D71232" w:rsidRPr="001C20B0">
        <w:t>.</w:t>
      </w:r>
      <w:r w:rsidR="00F27877">
        <w:t xml:space="preserve">  </w:t>
      </w:r>
    </w:p>
    <w:p w:rsidR="00F70AEB" w:rsidRPr="00802CD5" w:rsidRDefault="00F70AEB" w:rsidP="0042051A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802CD5">
        <w:rPr>
          <w:b/>
          <w:i/>
        </w:rPr>
        <w:t>Which districts are included in the Central NY Region?</w:t>
      </w:r>
    </w:p>
    <w:p w:rsidR="00F70AEB" w:rsidRPr="001C20B0" w:rsidRDefault="00F70AEB" w:rsidP="0042051A">
      <w:pPr>
        <w:pStyle w:val="ListParagraph"/>
        <w:spacing w:line="360" w:lineRule="auto"/>
      </w:pPr>
      <w:r>
        <w:t>All public districts within the following BOCES (excluding Syracuse City): Onondaga-Cortland-Madison BOCES, Cayuga-</w:t>
      </w:r>
      <w:r w:rsidR="008A31C4">
        <w:t xml:space="preserve">Onondaga BOCES, </w:t>
      </w:r>
      <w:proofErr w:type="spellStart"/>
      <w:r w:rsidR="00802CD5">
        <w:t>CiTi</w:t>
      </w:r>
      <w:proofErr w:type="spellEnd"/>
      <w:r w:rsidR="00802CD5">
        <w:t xml:space="preserve"> BOCES</w:t>
      </w:r>
      <w:r w:rsidR="008A31C4">
        <w:t>, T</w:t>
      </w:r>
      <w:r>
        <w:t>ompkins-Seneca-Tioga BOCES.</w:t>
      </w:r>
    </w:p>
    <w:p w:rsidR="00D71232" w:rsidRPr="00802CD5" w:rsidRDefault="00E9508F" w:rsidP="0042051A">
      <w:pPr>
        <w:pStyle w:val="ListParagraph"/>
        <w:numPr>
          <w:ilvl w:val="0"/>
          <w:numId w:val="1"/>
        </w:numPr>
        <w:spacing w:line="360" w:lineRule="auto"/>
        <w:rPr>
          <w:b/>
          <w:i/>
        </w:rPr>
      </w:pPr>
      <w:r w:rsidRPr="00802CD5">
        <w:rPr>
          <w:b/>
          <w:i/>
        </w:rPr>
        <w:t>What should we do with this information?</w:t>
      </w:r>
    </w:p>
    <w:p w:rsidR="0042051A" w:rsidRDefault="00F27877" w:rsidP="0042051A">
      <w:pPr>
        <w:pStyle w:val="ListParagraph"/>
        <w:spacing w:line="360" w:lineRule="auto"/>
      </w:pPr>
      <w:r>
        <w:t>As a starting point,</w:t>
      </w:r>
      <w:r w:rsidR="005D6AEC" w:rsidRPr="001C20B0">
        <w:t xml:space="preserve"> this portfolio can be used to </w:t>
      </w:r>
      <w:r w:rsidR="00802CD5">
        <w:t xml:space="preserve">identify </w:t>
      </w:r>
      <w:r w:rsidR="005D6AEC" w:rsidRPr="001C20B0">
        <w:t xml:space="preserve">general trends about district performance across grade levels or </w:t>
      </w:r>
      <w:r w:rsidR="00802CD5">
        <w:t xml:space="preserve">provide </w:t>
      </w:r>
      <w:r w:rsidR="005D6AEC" w:rsidRPr="001C20B0">
        <w:t xml:space="preserve">insights about curriculum and instruction.  </w:t>
      </w:r>
      <w:r w:rsidR="00F70AEB">
        <w:t>This</w:t>
      </w:r>
      <w:r>
        <w:t xml:space="preserve"> may </w:t>
      </w:r>
      <w:r w:rsidR="00F70AEB">
        <w:t xml:space="preserve">raise questions that </w:t>
      </w:r>
      <w:r>
        <w:t>spark meaningful dialogue within a district that leads to a more focused look at curriculum, instruction, and assessment.</w:t>
      </w:r>
    </w:p>
    <w:p w:rsidR="0042051A" w:rsidRDefault="0042051A" w:rsidP="0042051A">
      <w:pPr>
        <w:pStyle w:val="ListParagraph"/>
      </w:pPr>
    </w:p>
    <w:p w:rsidR="0042051A" w:rsidRDefault="0042051A" w:rsidP="0042051A">
      <w:pPr>
        <w:pStyle w:val="ListParagraph"/>
      </w:pPr>
    </w:p>
    <w:p w:rsidR="0042051A" w:rsidRPr="001C20B0" w:rsidRDefault="0042051A" w:rsidP="0042051A"/>
    <w:p w:rsidR="00663440" w:rsidRPr="00133166" w:rsidRDefault="00E12BEE" w:rsidP="0042051A">
      <w:pPr>
        <w:spacing w:line="360" w:lineRule="auto"/>
        <w:rPr>
          <w:b/>
          <w:color w:val="4F81BD" w:themeColor="accent1"/>
          <w:sz w:val="28"/>
        </w:rPr>
      </w:pPr>
      <w:r w:rsidRPr="00133166">
        <w:rPr>
          <w:b/>
          <w:color w:val="4F81BD" w:themeColor="accent1"/>
          <w:sz w:val="28"/>
        </w:rPr>
        <w:t>Section 1</w:t>
      </w:r>
      <w:r w:rsidR="001C20B0" w:rsidRPr="00133166">
        <w:rPr>
          <w:b/>
          <w:color w:val="4F81BD" w:themeColor="accent1"/>
          <w:sz w:val="28"/>
        </w:rPr>
        <w:t>: Percent of Students Who Ach</w:t>
      </w:r>
      <w:r w:rsidR="00F70AEB" w:rsidRPr="00133166">
        <w:rPr>
          <w:b/>
          <w:color w:val="4F81BD" w:themeColor="accent1"/>
          <w:sz w:val="28"/>
        </w:rPr>
        <w:t xml:space="preserve">ieved Performance Levels 3 and 4 </w:t>
      </w:r>
    </w:p>
    <w:p w:rsidR="00E12BEE" w:rsidRDefault="00122137" w:rsidP="0042051A">
      <w:pPr>
        <w:pStyle w:val="ListParagraph"/>
        <w:numPr>
          <w:ilvl w:val="0"/>
          <w:numId w:val="2"/>
        </w:numPr>
        <w:spacing w:line="360" w:lineRule="auto"/>
      </w:pPr>
      <w:r w:rsidRPr="00133166">
        <w:rPr>
          <w:b/>
        </w:rPr>
        <w:t>Focus O</w:t>
      </w:r>
      <w:r w:rsidR="00F70AEB" w:rsidRPr="00133166">
        <w:rPr>
          <w:b/>
        </w:rPr>
        <w:t>n:</w:t>
      </w:r>
      <w:r w:rsidR="00F70AEB">
        <w:t xml:space="preserve"> </w:t>
      </w:r>
      <w:r w:rsidR="00802CD5">
        <w:t>Students achieving proficiency</w:t>
      </w:r>
    </w:p>
    <w:p w:rsidR="00F70AEB" w:rsidRDefault="00F70AEB" w:rsidP="0042051A">
      <w:pPr>
        <w:pStyle w:val="ListParagraph"/>
        <w:numPr>
          <w:ilvl w:val="0"/>
          <w:numId w:val="2"/>
        </w:numPr>
        <w:spacing w:line="360" w:lineRule="auto"/>
      </w:pPr>
      <w:r w:rsidRPr="00133166">
        <w:rPr>
          <w:b/>
        </w:rPr>
        <w:t>Comparison Groups:</w:t>
      </w:r>
      <w:r>
        <w:t xml:space="preserve"> Local BOCES and CNY Region</w:t>
      </w:r>
    </w:p>
    <w:p w:rsidR="00133166" w:rsidRDefault="008A31C4" w:rsidP="0042051A">
      <w:pPr>
        <w:pStyle w:val="ListParagraph"/>
        <w:numPr>
          <w:ilvl w:val="0"/>
          <w:numId w:val="2"/>
        </w:numPr>
        <w:spacing w:line="360" w:lineRule="auto"/>
      </w:pPr>
      <w:r w:rsidRPr="00133166">
        <w:rPr>
          <w:b/>
        </w:rPr>
        <w:t>Starting Point:</w:t>
      </w:r>
      <w:r>
        <w:t xml:space="preserve">  C</w:t>
      </w:r>
      <w:r w:rsidR="001C20B0">
        <w:t xml:space="preserve">ompare proficiency across grades </w:t>
      </w:r>
      <w:r>
        <w:t>with the c</w:t>
      </w:r>
      <w:r w:rsidR="00133166">
        <w:t>ontext of the comparison groups</w:t>
      </w:r>
    </w:p>
    <w:p w:rsidR="0042051A" w:rsidRPr="0042051A" w:rsidRDefault="0042051A" w:rsidP="0042051A">
      <w:pPr>
        <w:pStyle w:val="ListParagraph"/>
        <w:spacing w:line="360" w:lineRule="auto"/>
      </w:pPr>
    </w:p>
    <w:p w:rsidR="001C20B0" w:rsidRPr="00133166" w:rsidRDefault="001C20B0" w:rsidP="0042051A">
      <w:pPr>
        <w:spacing w:line="360" w:lineRule="auto"/>
        <w:rPr>
          <w:b/>
          <w:color w:val="4F81BD" w:themeColor="accent1"/>
          <w:sz w:val="28"/>
        </w:rPr>
      </w:pPr>
      <w:r w:rsidRPr="00133166">
        <w:rPr>
          <w:b/>
          <w:color w:val="4F81BD" w:themeColor="accent1"/>
          <w:sz w:val="28"/>
        </w:rPr>
        <w:t xml:space="preserve">Section 2: </w:t>
      </w:r>
      <w:r w:rsidR="00DF344A" w:rsidRPr="00133166">
        <w:rPr>
          <w:b/>
          <w:color w:val="4F81BD" w:themeColor="accent1"/>
          <w:sz w:val="28"/>
        </w:rPr>
        <w:t>District Compared to</w:t>
      </w:r>
      <w:r w:rsidR="00234DE1" w:rsidRPr="00133166">
        <w:rPr>
          <w:b/>
          <w:color w:val="4F81BD" w:themeColor="accent1"/>
          <w:sz w:val="28"/>
        </w:rPr>
        <w:t xml:space="preserve"> </w:t>
      </w:r>
      <w:r w:rsidR="00DF344A" w:rsidRPr="00133166">
        <w:rPr>
          <w:b/>
          <w:color w:val="4F81BD" w:themeColor="accent1"/>
          <w:sz w:val="28"/>
        </w:rPr>
        <w:t xml:space="preserve">schools in the same </w:t>
      </w:r>
      <w:r w:rsidR="00234DE1" w:rsidRPr="00133166">
        <w:rPr>
          <w:b/>
          <w:color w:val="4F81BD" w:themeColor="accent1"/>
          <w:sz w:val="28"/>
        </w:rPr>
        <w:t>Need</w:t>
      </w:r>
      <w:r w:rsidR="00133166">
        <w:rPr>
          <w:b/>
          <w:color w:val="4F81BD" w:themeColor="accent1"/>
          <w:sz w:val="28"/>
        </w:rPr>
        <w:t xml:space="preserve">-to-Resource </w:t>
      </w:r>
      <w:r w:rsidR="00DF344A" w:rsidRPr="00133166">
        <w:rPr>
          <w:b/>
          <w:color w:val="4F81BD" w:themeColor="accent1"/>
          <w:sz w:val="28"/>
        </w:rPr>
        <w:t>Group</w:t>
      </w:r>
    </w:p>
    <w:p w:rsidR="00234DE1" w:rsidRDefault="00122137" w:rsidP="0042051A">
      <w:pPr>
        <w:pStyle w:val="ListParagraph"/>
        <w:numPr>
          <w:ilvl w:val="0"/>
          <w:numId w:val="3"/>
        </w:numPr>
        <w:spacing w:line="360" w:lineRule="auto"/>
      </w:pPr>
      <w:r w:rsidRPr="00133166">
        <w:rPr>
          <w:b/>
        </w:rPr>
        <w:t>Focus On:</w:t>
      </w:r>
      <w:r w:rsidR="00133166">
        <w:t xml:space="preserve"> Students achieving proficiency</w:t>
      </w:r>
    </w:p>
    <w:p w:rsidR="00122137" w:rsidRDefault="00122137" w:rsidP="0042051A">
      <w:pPr>
        <w:pStyle w:val="ListParagraph"/>
        <w:numPr>
          <w:ilvl w:val="0"/>
          <w:numId w:val="3"/>
        </w:numPr>
        <w:spacing w:line="360" w:lineRule="auto"/>
      </w:pPr>
      <w:r w:rsidRPr="00133166">
        <w:rPr>
          <w:b/>
        </w:rPr>
        <w:t>Comparison Gro</w:t>
      </w:r>
      <w:r w:rsidR="00AE5E72" w:rsidRPr="00133166">
        <w:rPr>
          <w:b/>
        </w:rPr>
        <w:t>ups:</w:t>
      </w:r>
      <w:r w:rsidR="00AE5E72">
        <w:t xml:space="preserve"> Districts in the same Need/</w:t>
      </w:r>
      <w:r w:rsidR="00133166">
        <w:t>Resource category</w:t>
      </w:r>
    </w:p>
    <w:p w:rsidR="00122137" w:rsidRDefault="00122137" w:rsidP="0042051A">
      <w:pPr>
        <w:pStyle w:val="ListParagraph"/>
        <w:numPr>
          <w:ilvl w:val="0"/>
          <w:numId w:val="3"/>
        </w:numPr>
        <w:spacing w:line="360" w:lineRule="auto"/>
      </w:pPr>
      <w:r w:rsidRPr="00133166">
        <w:rPr>
          <w:b/>
        </w:rPr>
        <w:t>Starting Point:</w:t>
      </w:r>
      <w:r>
        <w:t xml:space="preserve"> Compare proficiency at each grade level to</w:t>
      </w:r>
      <w:r w:rsidR="00133166">
        <w:t xml:space="preserve"> that of other “like” districts</w:t>
      </w:r>
    </w:p>
    <w:p w:rsidR="00133166" w:rsidRDefault="00133166" w:rsidP="0042051A">
      <w:pPr>
        <w:pStyle w:val="ListParagraph"/>
        <w:spacing w:line="360" w:lineRule="auto"/>
      </w:pPr>
    </w:p>
    <w:p w:rsidR="00AF491A" w:rsidRPr="00133166" w:rsidRDefault="00AF491A" w:rsidP="0042051A">
      <w:pPr>
        <w:spacing w:line="360" w:lineRule="auto"/>
        <w:rPr>
          <w:b/>
          <w:color w:val="4F81BD" w:themeColor="accent1"/>
          <w:sz w:val="28"/>
        </w:rPr>
      </w:pPr>
      <w:r w:rsidRPr="00133166">
        <w:rPr>
          <w:b/>
          <w:color w:val="4F81BD" w:themeColor="accent1"/>
          <w:sz w:val="28"/>
        </w:rPr>
        <w:t>Section 3: Percent of Students Who Achieved Each Performance Level</w:t>
      </w:r>
    </w:p>
    <w:p w:rsidR="00122137" w:rsidRDefault="00122137" w:rsidP="0042051A">
      <w:pPr>
        <w:pStyle w:val="ListParagraph"/>
        <w:numPr>
          <w:ilvl w:val="0"/>
          <w:numId w:val="5"/>
        </w:numPr>
        <w:spacing w:line="360" w:lineRule="auto"/>
      </w:pPr>
      <w:r w:rsidRPr="00133166">
        <w:rPr>
          <w:b/>
        </w:rPr>
        <w:t>Focus On:</w:t>
      </w:r>
      <w:r>
        <w:t xml:space="preserve"> </w:t>
      </w:r>
      <w:r w:rsidR="00AE5E72">
        <w:t>The</w:t>
      </w:r>
      <w:r w:rsidR="00133166">
        <w:t xml:space="preserve"> breakdown of students by score levels </w:t>
      </w:r>
      <w:r>
        <w:t>1</w:t>
      </w:r>
      <w:r w:rsidR="00AE5E72">
        <w:t xml:space="preserve"> </w:t>
      </w:r>
      <w:r w:rsidR="00133166">
        <w:t xml:space="preserve">, 2, 3, and 4 </w:t>
      </w:r>
    </w:p>
    <w:p w:rsidR="00122137" w:rsidRDefault="00122137" w:rsidP="0042051A">
      <w:pPr>
        <w:pStyle w:val="ListParagraph"/>
        <w:numPr>
          <w:ilvl w:val="0"/>
          <w:numId w:val="5"/>
        </w:numPr>
        <w:spacing w:line="360" w:lineRule="auto"/>
      </w:pPr>
      <w:r w:rsidRPr="00133166">
        <w:rPr>
          <w:b/>
        </w:rPr>
        <w:t>Comparison Groups:</w:t>
      </w:r>
      <w:r>
        <w:t xml:space="preserve"> Local BOCES and districts in </w:t>
      </w:r>
      <w:r w:rsidR="00133166">
        <w:t>the same Need Resource category</w:t>
      </w:r>
    </w:p>
    <w:p w:rsidR="008F6121" w:rsidRDefault="00122137" w:rsidP="0042051A">
      <w:pPr>
        <w:pStyle w:val="ListParagraph"/>
        <w:numPr>
          <w:ilvl w:val="0"/>
          <w:numId w:val="5"/>
        </w:numPr>
        <w:spacing w:line="360" w:lineRule="auto"/>
      </w:pPr>
      <w:r w:rsidRPr="00133166">
        <w:rPr>
          <w:b/>
        </w:rPr>
        <w:t>Starting Point:</w:t>
      </w:r>
      <w:r>
        <w:t xml:space="preserve"> Compare </w:t>
      </w:r>
      <w:r w:rsidR="008F6121">
        <w:t xml:space="preserve">the size of each group, the absence of scores at certain levels, </w:t>
      </w:r>
      <w:r>
        <w:t>and the context pro</w:t>
      </w:r>
      <w:r w:rsidR="00133166">
        <w:t>vided by the comparison groups</w:t>
      </w:r>
    </w:p>
    <w:p w:rsidR="00133166" w:rsidRDefault="00133166" w:rsidP="0042051A">
      <w:pPr>
        <w:spacing w:line="360" w:lineRule="auto"/>
        <w:rPr>
          <w:b/>
        </w:rPr>
      </w:pPr>
    </w:p>
    <w:p w:rsidR="00816275" w:rsidRPr="00133166" w:rsidRDefault="00816275" w:rsidP="0042051A">
      <w:pPr>
        <w:spacing w:line="360" w:lineRule="auto"/>
        <w:rPr>
          <w:b/>
          <w:color w:val="4F81BD" w:themeColor="accent1"/>
          <w:sz w:val="28"/>
        </w:rPr>
      </w:pPr>
      <w:r w:rsidRPr="00133166">
        <w:rPr>
          <w:b/>
          <w:color w:val="4F81BD" w:themeColor="accent1"/>
          <w:sz w:val="28"/>
        </w:rPr>
        <w:t xml:space="preserve">Section 4: </w:t>
      </w:r>
      <w:r w:rsidR="00344CBC" w:rsidRPr="00133166">
        <w:rPr>
          <w:b/>
          <w:color w:val="4F81BD" w:themeColor="accent1"/>
          <w:sz w:val="28"/>
        </w:rPr>
        <w:t xml:space="preserve">Trends Over Five Years- </w:t>
      </w:r>
      <w:r w:rsidR="00133166">
        <w:rPr>
          <w:b/>
          <w:color w:val="4F81BD" w:themeColor="accent1"/>
          <w:sz w:val="28"/>
        </w:rPr>
        <w:t>Percent of Students at Proficiency</w:t>
      </w:r>
    </w:p>
    <w:p w:rsidR="00122137" w:rsidRDefault="00122137" w:rsidP="0042051A">
      <w:pPr>
        <w:pStyle w:val="ListParagraph"/>
        <w:numPr>
          <w:ilvl w:val="0"/>
          <w:numId w:val="6"/>
        </w:numPr>
        <w:spacing w:line="360" w:lineRule="auto"/>
      </w:pPr>
      <w:r w:rsidRPr="00133166">
        <w:rPr>
          <w:b/>
        </w:rPr>
        <w:t>Focus On:</w:t>
      </w:r>
      <w:r>
        <w:t xml:space="preserve"> Proficiency levels </w:t>
      </w:r>
      <w:r w:rsidR="00AA47F7">
        <w:t>dating back to 2015 (far left column) to 2019</w:t>
      </w:r>
      <w:r w:rsidR="006157A7">
        <w:t xml:space="preserve"> (far right column)</w:t>
      </w:r>
    </w:p>
    <w:p w:rsidR="006157A7" w:rsidRDefault="006157A7" w:rsidP="0042051A">
      <w:pPr>
        <w:pStyle w:val="ListParagraph"/>
        <w:numPr>
          <w:ilvl w:val="0"/>
          <w:numId w:val="6"/>
        </w:numPr>
        <w:spacing w:line="360" w:lineRule="auto"/>
      </w:pPr>
      <w:r w:rsidRPr="00AA47F7">
        <w:rPr>
          <w:b/>
        </w:rPr>
        <w:t>Comparison Groups:</w:t>
      </w:r>
      <w:r>
        <w:t xml:space="preserve"> Lo</w:t>
      </w:r>
      <w:r w:rsidR="00AA47F7">
        <w:t>cal BOCES and Central NY region</w:t>
      </w:r>
    </w:p>
    <w:p w:rsidR="006157A7" w:rsidRDefault="006157A7" w:rsidP="0042051A">
      <w:pPr>
        <w:pStyle w:val="ListParagraph"/>
        <w:numPr>
          <w:ilvl w:val="0"/>
          <w:numId w:val="6"/>
        </w:numPr>
        <w:spacing w:line="360" w:lineRule="auto"/>
      </w:pPr>
      <w:r w:rsidRPr="00AA47F7">
        <w:rPr>
          <w:b/>
        </w:rPr>
        <w:t>Starting Point:</w:t>
      </w:r>
      <w:r>
        <w:t xml:space="preserve"> Identify patterns within and between grade levels over time, as well as highlight how </w:t>
      </w:r>
      <w:r w:rsidR="00AA47F7">
        <w:t>any local shifts in proficiency compare to regional trends</w:t>
      </w:r>
    </w:p>
    <w:p w:rsidR="00AA47F7" w:rsidRDefault="00AA47F7" w:rsidP="0042051A">
      <w:pPr>
        <w:spacing w:line="360" w:lineRule="auto"/>
        <w:ind w:firstLine="360"/>
        <w:rPr>
          <w:b/>
        </w:rPr>
      </w:pPr>
      <w:r>
        <w:rPr>
          <w:b/>
        </w:rPr>
        <w:t>Note:</w:t>
      </w:r>
    </w:p>
    <w:p w:rsidR="00344CBC" w:rsidRPr="00AA47F7" w:rsidRDefault="00344CBC" w:rsidP="0042051A">
      <w:pPr>
        <w:pStyle w:val="ListParagraph"/>
        <w:numPr>
          <w:ilvl w:val="0"/>
          <w:numId w:val="15"/>
        </w:numPr>
        <w:spacing w:line="360" w:lineRule="auto"/>
        <w:rPr>
          <w:b/>
        </w:rPr>
      </w:pPr>
      <w:r>
        <w:t>The data table at the end of the portfoli</w:t>
      </w:r>
      <w:r w:rsidR="00AA47F7">
        <w:t>o presents the percentages alongside the year</w:t>
      </w:r>
    </w:p>
    <w:p w:rsidR="00AA47F7" w:rsidRPr="00AA47F7" w:rsidRDefault="00AA47F7" w:rsidP="00F57492">
      <w:pPr>
        <w:pStyle w:val="ListParagraph"/>
        <w:ind w:left="1080"/>
        <w:rPr>
          <w:b/>
        </w:rPr>
      </w:pPr>
    </w:p>
    <w:p w:rsidR="0042051A" w:rsidRDefault="0042051A" w:rsidP="00816275">
      <w:pPr>
        <w:rPr>
          <w:b/>
          <w:color w:val="4F81BD" w:themeColor="accent1"/>
          <w:sz w:val="28"/>
        </w:rPr>
      </w:pPr>
    </w:p>
    <w:p w:rsidR="00344CBC" w:rsidRPr="00AA47F7" w:rsidRDefault="002544F5" w:rsidP="00816275">
      <w:pPr>
        <w:rPr>
          <w:b/>
          <w:color w:val="4F81BD" w:themeColor="accent1"/>
          <w:sz w:val="28"/>
        </w:rPr>
      </w:pPr>
      <w:r w:rsidRPr="00AA47F7">
        <w:rPr>
          <w:b/>
          <w:color w:val="4F81BD" w:themeColor="accent1"/>
          <w:sz w:val="28"/>
        </w:rPr>
        <w:t xml:space="preserve">Section 5: </w:t>
      </w:r>
      <w:r w:rsidR="00AA47F7">
        <w:rPr>
          <w:b/>
          <w:color w:val="4F81BD" w:themeColor="accent1"/>
          <w:sz w:val="28"/>
        </w:rPr>
        <w:t xml:space="preserve"># </w:t>
      </w:r>
      <w:r w:rsidR="007D396F" w:rsidRPr="00AA47F7">
        <w:rPr>
          <w:b/>
          <w:color w:val="4F81BD" w:themeColor="accent1"/>
          <w:sz w:val="28"/>
        </w:rPr>
        <w:t>of Student</w:t>
      </w:r>
      <w:r w:rsidR="00CA24B9" w:rsidRPr="00AA47F7">
        <w:rPr>
          <w:b/>
          <w:color w:val="4F81BD" w:themeColor="accent1"/>
          <w:sz w:val="28"/>
        </w:rPr>
        <w:t xml:space="preserve">s Who Achieved </w:t>
      </w:r>
      <w:r w:rsidR="00AA47F7">
        <w:rPr>
          <w:b/>
          <w:color w:val="4F81BD" w:themeColor="accent1"/>
          <w:sz w:val="28"/>
        </w:rPr>
        <w:t xml:space="preserve">at </w:t>
      </w:r>
      <w:r w:rsidR="00CA24B9" w:rsidRPr="00AA47F7">
        <w:rPr>
          <w:b/>
          <w:color w:val="4F81BD" w:themeColor="accent1"/>
          <w:sz w:val="28"/>
        </w:rPr>
        <w:t>Each</w:t>
      </w:r>
      <w:r w:rsidR="007D396F" w:rsidRPr="00AA47F7">
        <w:rPr>
          <w:b/>
          <w:color w:val="4F81BD" w:themeColor="accent1"/>
          <w:sz w:val="28"/>
        </w:rPr>
        <w:t xml:space="preserve"> Performance Level Subdivision</w:t>
      </w:r>
    </w:p>
    <w:p w:rsidR="006157A7" w:rsidRDefault="006157A7" w:rsidP="001E2079">
      <w:pPr>
        <w:pStyle w:val="ListParagraph"/>
        <w:numPr>
          <w:ilvl w:val="0"/>
          <w:numId w:val="8"/>
        </w:numPr>
      </w:pPr>
      <w:r w:rsidRPr="00AA47F7">
        <w:rPr>
          <w:b/>
        </w:rPr>
        <w:t>Focus On:</w:t>
      </w:r>
      <w:r>
        <w:t xml:space="preserve"> Breaking each performance level in</w:t>
      </w:r>
      <w:r w:rsidR="00AA47F7">
        <w:t>to low, medium, and high groups</w:t>
      </w:r>
    </w:p>
    <w:p w:rsidR="006157A7" w:rsidRDefault="006157A7" w:rsidP="001E2079">
      <w:pPr>
        <w:pStyle w:val="ListParagraph"/>
        <w:numPr>
          <w:ilvl w:val="0"/>
          <w:numId w:val="8"/>
        </w:numPr>
      </w:pPr>
      <w:r w:rsidRPr="00AA47F7">
        <w:rPr>
          <w:b/>
        </w:rPr>
        <w:t>Comparison Groups</w:t>
      </w:r>
      <w:r w:rsidR="00AA47F7">
        <w:t>: District data only</w:t>
      </w:r>
    </w:p>
    <w:p w:rsidR="001E2079" w:rsidRPr="006157A7" w:rsidRDefault="006157A7" w:rsidP="001E2079">
      <w:pPr>
        <w:pStyle w:val="ListParagraph"/>
        <w:numPr>
          <w:ilvl w:val="0"/>
          <w:numId w:val="8"/>
        </w:numPr>
        <w:rPr>
          <w:b/>
        </w:rPr>
      </w:pPr>
      <w:r w:rsidRPr="00AA47F7">
        <w:rPr>
          <w:b/>
        </w:rPr>
        <w:t>Starting Point:</w:t>
      </w:r>
      <w:r>
        <w:t xml:space="preserve"> Identify concentrations of scores for </w:t>
      </w:r>
      <w:r w:rsidR="001E2079">
        <w:t xml:space="preserve">proficient and non-proficient </w:t>
      </w:r>
      <w:r w:rsidR="001E2079" w:rsidRPr="006157A7">
        <w:t xml:space="preserve">students </w:t>
      </w:r>
      <w:r w:rsidR="00AA47F7">
        <w:t>across grade levels</w:t>
      </w:r>
    </w:p>
    <w:p w:rsidR="001E2079" w:rsidRPr="00AA47F7" w:rsidRDefault="00901C51" w:rsidP="00901C51">
      <w:pPr>
        <w:ind w:left="360"/>
        <w:rPr>
          <w:b/>
        </w:rPr>
      </w:pPr>
      <w:r>
        <w:rPr>
          <w:b/>
        </w:rPr>
        <w:t>Note:</w:t>
      </w:r>
    </w:p>
    <w:p w:rsidR="00901C51" w:rsidRDefault="0042051A" w:rsidP="00901C51">
      <w:pPr>
        <w:pStyle w:val="ListParagraph"/>
        <w:numPr>
          <w:ilvl w:val="0"/>
          <w:numId w:val="9"/>
        </w:numPr>
      </w:pPr>
      <w:r>
        <w:t>Categories</w:t>
      </w:r>
      <w:r w:rsidR="00901C51">
        <w:t xml:space="preserve"> were determined by dividing the</w:t>
      </w:r>
      <w:r w:rsidR="00456C58">
        <w:t xml:space="preserve"> possible range of scores for each level </w:t>
      </w:r>
      <w:r w:rsidR="00901C51">
        <w:t>in thirds</w:t>
      </w:r>
    </w:p>
    <w:p w:rsidR="0042051A" w:rsidRPr="0042051A" w:rsidRDefault="0042051A" w:rsidP="0042051A">
      <w:pPr>
        <w:pStyle w:val="ListParagraph"/>
      </w:pPr>
    </w:p>
    <w:p w:rsidR="001E2079" w:rsidRPr="00901C51" w:rsidRDefault="001E2079" w:rsidP="00901C51">
      <w:pPr>
        <w:rPr>
          <w:color w:val="4F81BD" w:themeColor="accent1"/>
          <w:sz w:val="28"/>
        </w:rPr>
      </w:pPr>
      <w:r w:rsidRPr="00901C51">
        <w:rPr>
          <w:b/>
          <w:color w:val="4F81BD" w:themeColor="accent1"/>
          <w:sz w:val="28"/>
        </w:rPr>
        <w:t xml:space="preserve">Section 6: </w:t>
      </w:r>
      <w:r w:rsidR="00DC4881" w:rsidRPr="00901C51">
        <w:rPr>
          <w:b/>
          <w:color w:val="4F81BD" w:themeColor="accent1"/>
          <w:sz w:val="28"/>
        </w:rPr>
        <w:t>Results by Grade Level Cohort</w:t>
      </w:r>
    </w:p>
    <w:p w:rsidR="006157A7" w:rsidRDefault="006157A7" w:rsidP="00DC4881">
      <w:pPr>
        <w:pStyle w:val="ListParagraph"/>
        <w:numPr>
          <w:ilvl w:val="0"/>
          <w:numId w:val="10"/>
        </w:numPr>
      </w:pPr>
      <w:r w:rsidRPr="00901C51">
        <w:rPr>
          <w:b/>
        </w:rPr>
        <w:t>Focus On:</w:t>
      </w:r>
      <w:r>
        <w:t xml:space="preserve"> </w:t>
      </w:r>
      <w:r w:rsidR="00C7571D">
        <w:t xml:space="preserve">Following a group </w:t>
      </w:r>
      <w:r w:rsidR="00901C51">
        <w:t>of students over multiple years</w:t>
      </w:r>
    </w:p>
    <w:p w:rsidR="006157A7" w:rsidRDefault="006157A7" w:rsidP="00DC4881">
      <w:pPr>
        <w:pStyle w:val="ListParagraph"/>
        <w:numPr>
          <w:ilvl w:val="0"/>
          <w:numId w:val="10"/>
        </w:numPr>
      </w:pPr>
      <w:r w:rsidRPr="00901C51">
        <w:rPr>
          <w:b/>
        </w:rPr>
        <w:t>Comparison Groups:</w:t>
      </w:r>
      <w:r>
        <w:t xml:space="preserve"> Local BOCES and Central NY</w:t>
      </w:r>
      <w:r w:rsidR="00901C51">
        <w:t xml:space="preserve"> region</w:t>
      </w:r>
    </w:p>
    <w:p w:rsidR="00C17C89" w:rsidRDefault="006157A7" w:rsidP="006157A7">
      <w:pPr>
        <w:pStyle w:val="ListParagraph"/>
        <w:numPr>
          <w:ilvl w:val="0"/>
          <w:numId w:val="10"/>
        </w:numPr>
      </w:pPr>
      <w:r w:rsidRPr="00901C51">
        <w:rPr>
          <w:b/>
        </w:rPr>
        <w:t>Starting Point:</w:t>
      </w:r>
      <w:r>
        <w:t xml:space="preserve"> I</w:t>
      </w:r>
      <w:r w:rsidR="00C81518" w:rsidRPr="006B472A">
        <w:t>dentify trends within a cohor</w:t>
      </w:r>
      <w:r w:rsidR="00901C51">
        <w:t>t as well as between cohorts</w:t>
      </w:r>
      <w:r w:rsidR="00F1543F">
        <w:t xml:space="preserve"> </w:t>
      </w:r>
      <w:r w:rsidR="00C81518" w:rsidRPr="006B472A">
        <w:t xml:space="preserve"> </w:t>
      </w:r>
    </w:p>
    <w:p w:rsidR="006714F6" w:rsidRPr="00FE4AD4" w:rsidRDefault="00FE4AD4" w:rsidP="00FE4AD4">
      <w:pPr>
        <w:ind w:firstLine="360"/>
        <w:rPr>
          <w:b/>
        </w:rPr>
      </w:pPr>
      <w:r>
        <w:rPr>
          <w:b/>
        </w:rPr>
        <w:t>Note:</w:t>
      </w:r>
    </w:p>
    <w:p w:rsidR="006714F6" w:rsidRPr="006B472A" w:rsidRDefault="00FE4AD4" w:rsidP="006714F6">
      <w:pPr>
        <w:pStyle w:val="ListParagraph"/>
        <w:numPr>
          <w:ilvl w:val="0"/>
          <w:numId w:val="14"/>
        </w:numPr>
      </w:pPr>
      <w:r>
        <w:t>Data includes all students who took the state assessment in that year</w:t>
      </w:r>
    </w:p>
    <w:p w:rsidR="00FE4AD4" w:rsidRDefault="00FE4AD4" w:rsidP="00C81518">
      <w:pPr>
        <w:rPr>
          <w:b/>
        </w:rPr>
      </w:pPr>
    </w:p>
    <w:p w:rsidR="00C81518" w:rsidRPr="00FE4AD4" w:rsidRDefault="00C81518" w:rsidP="00C81518">
      <w:pPr>
        <w:rPr>
          <w:b/>
          <w:color w:val="4F81BD" w:themeColor="accent1"/>
          <w:sz w:val="28"/>
        </w:rPr>
      </w:pPr>
      <w:r w:rsidRPr="00FE4AD4">
        <w:rPr>
          <w:b/>
          <w:color w:val="4F81BD" w:themeColor="accent1"/>
          <w:sz w:val="28"/>
        </w:rPr>
        <w:t>Section 7: Performance of Subgroups</w:t>
      </w:r>
    </w:p>
    <w:p w:rsidR="00F1543F" w:rsidRDefault="00F1543F" w:rsidP="00C81518">
      <w:pPr>
        <w:pStyle w:val="ListParagraph"/>
        <w:numPr>
          <w:ilvl w:val="0"/>
          <w:numId w:val="11"/>
        </w:numPr>
      </w:pPr>
      <w:r w:rsidRPr="00FE4AD4">
        <w:rPr>
          <w:b/>
        </w:rPr>
        <w:t>Focus On:</w:t>
      </w:r>
      <w:r>
        <w:t xml:space="preserve"> Students achieving proficiency </w:t>
      </w:r>
      <w:r w:rsidR="00F57492">
        <w:t>within accountability subgroups</w:t>
      </w:r>
    </w:p>
    <w:p w:rsidR="00F1543F" w:rsidRDefault="00F1543F" w:rsidP="00C81518">
      <w:pPr>
        <w:pStyle w:val="ListParagraph"/>
        <w:numPr>
          <w:ilvl w:val="0"/>
          <w:numId w:val="11"/>
        </w:numPr>
      </w:pPr>
      <w:r w:rsidRPr="00FE4AD4">
        <w:rPr>
          <w:b/>
        </w:rPr>
        <w:t>Comparison Groups</w:t>
      </w:r>
      <w:r w:rsidR="00F57492">
        <w:t>: Local BOCES</w:t>
      </w:r>
    </w:p>
    <w:p w:rsidR="00F1543F" w:rsidRDefault="00F1543F" w:rsidP="00C81518">
      <w:pPr>
        <w:pStyle w:val="ListParagraph"/>
        <w:numPr>
          <w:ilvl w:val="0"/>
          <w:numId w:val="11"/>
        </w:numPr>
      </w:pPr>
      <w:r w:rsidRPr="00FE4AD4">
        <w:rPr>
          <w:b/>
        </w:rPr>
        <w:t>Starting Point:</w:t>
      </w:r>
      <w:r>
        <w:t xml:space="preserve"> Compare subgroup performance across grade levels, using the </w:t>
      </w:r>
      <w:r w:rsidR="00F57492">
        <w:t>context of the local BOCES data</w:t>
      </w:r>
    </w:p>
    <w:p w:rsidR="009A2EBA" w:rsidRPr="00F57492" w:rsidRDefault="00F57492" w:rsidP="00F57492">
      <w:pPr>
        <w:ind w:firstLine="360"/>
        <w:rPr>
          <w:b/>
        </w:rPr>
      </w:pPr>
      <w:r>
        <w:rPr>
          <w:b/>
        </w:rPr>
        <w:t>Note:</w:t>
      </w:r>
    </w:p>
    <w:p w:rsidR="00F57492" w:rsidRPr="0042051A" w:rsidRDefault="00F57492" w:rsidP="009A2EBA">
      <w:pPr>
        <w:pStyle w:val="ListParagraph"/>
        <w:numPr>
          <w:ilvl w:val="0"/>
          <w:numId w:val="12"/>
        </w:numPr>
      </w:pPr>
      <w:r>
        <w:t>A bar</w:t>
      </w:r>
      <w:r w:rsidR="006714F6">
        <w:t xml:space="preserve"> labeled “</w:t>
      </w:r>
      <w:r w:rsidR="009A2EBA">
        <w:t>&lt;5</w:t>
      </w:r>
      <w:r>
        <w:t>” indicates that the subgroup</w:t>
      </w:r>
      <w:r w:rsidR="009A2EBA">
        <w:t xml:space="preserve"> included </w:t>
      </w:r>
      <w:r w:rsidR="006714F6">
        <w:t>fewer than</w:t>
      </w:r>
      <w:r w:rsidR="009A2EBA">
        <w:t xml:space="preserve"> five students was not included.  It is difficult to draw conclusions from such small numbers.  Similarly, ethnicity data is shown across grade levels due to small populations for many groups.</w:t>
      </w:r>
    </w:p>
    <w:p w:rsidR="009A2EBA" w:rsidRPr="00F57492" w:rsidRDefault="009A2EBA" w:rsidP="009A2EBA">
      <w:pPr>
        <w:rPr>
          <w:b/>
          <w:color w:val="4F81BD" w:themeColor="accent1"/>
          <w:sz w:val="28"/>
        </w:rPr>
      </w:pPr>
      <w:r w:rsidRPr="00F57492">
        <w:rPr>
          <w:b/>
          <w:color w:val="4F81BD" w:themeColor="accent1"/>
          <w:sz w:val="28"/>
        </w:rPr>
        <w:t>Section 8: Data Tables</w:t>
      </w:r>
    </w:p>
    <w:p w:rsidR="00F57492" w:rsidRDefault="00F1543F" w:rsidP="0042051A">
      <w:pPr>
        <w:pStyle w:val="ListParagraph"/>
        <w:numPr>
          <w:ilvl w:val="0"/>
          <w:numId w:val="12"/>
        </w:numPr>
      </w:pPr>
      <w:r w:rsidRPr="00F57492">
        <w:rPr>
          <w:b/>
        </w:rPr>
        <w:t>Focus On:</w:t>
      </w:r>
      <w:r>
        <w:t xml:space="preserve"> Data used to generate </w:t>
      </w:r>
      <w:r w:rsidR="00F57492">
        <w:t>the preceding charts and graphs</w:t>
      </w:r>
    </w:p>
    <w:p w:rsidR="001B0541" w:rsidRDefault="001B0541" w:rsidP="0042051A"/>
    <w:sectPr w:rsidR="001B05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AD" w:rsidRDefault="004C77AD" w:rsidP="00802CD5">
      <w:pPr>
        <w:spacing w:after="0" w:line="240" w:lineRule="auto"/>
      </w:pPr>
      <w:r>
        <w:separator/>
      </w:r>
    </w:p>
  </w:endnote>
  <w:endnote w:type="continuationSeparator" w:id="0">
    <w:p w:rsidR="004C77AD" w:rsidRDefault="004C77AD" w:rsidP="0080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AD" w:rsidRDefault="004C77AD" w:rsidP="00802CD5">
      <w:pPr>
        <w:spacing w:after="0" w:line="240" w:lineRule="auto"/>
      </w:pPr>
      <w:r>
        <w:separator/>
      </w:r>
    </w:p>
  </w:footnote>
  <w:footnote w:type="continuationSeparator" w:id="0">
    <w:p w:rsidR="004C77AD" w:rsidRDefault="004C77AD" w:rsidP="0080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D5" w:rsidRDefault="00802CD5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1433703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YR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375" cy="51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FDD"/>
    <w:multiLevelType w:val="hybridMultilevel"/>
    <w:tmpl w:val="59AC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D74"/>
    <w:multiLevelType w:val="hybridMultilevel"/>
    <w:tmpl w:val="C626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EEE"/>
    <w:multiLevelType w:val="hybridMultilevel"/>
    <w:tmpl w:val="C028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6FC8"/>
    <w:multiLevelType w:val="hybridMultilevel"/>
    <w:tmpl w:val="3F9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4867"/>
    <w:multiLevelType w:val="hybridMultilevel"/>
    <w:tmpl w:val="C052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A7FE2"/>
    <w:multiLevelType w:val="hybridMultilevel"/>
    <w:tmpl w:val="D3E0E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66FD"/>
    <w:multiLevelType w:val="hybridMultilevel"/>
    <w:tmpl w:val="7BE0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688A"/>
    <w:multiLevelType w:val="hybridMultilevel"/>
    <w:tmpl w:val="7226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17E"/>
    <w:multiLevelType w:val="hybridMultilevel"/>
    <w:tmpl w:val="111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C460F"/>
    <w:multiLevelType w:val="hybridMultilevel"/>
    <w:tmpl w:val="C2D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74DF"/>
    <w:multiLevelType w:val="hybridMultilevel"/>
    <w:tmpl w:val="B89E3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49776C"/>
    <w:multiLevelType w:val="hybridMultilevel"/>
    <w:tmpl w:val="85E6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76A50"/>
    <w:multiLevelType w:val="hybridMultilevel"/>
    <w:tmpl w:val="7A2C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12865"/>
    <w:multiLevelType w:val="hybridMultilevel"/>
    <w:tmpl w:val="4FF0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60E5D"/>
    <w:multiLevelType w:val="hybridMultilevel"/>
    <w:tmpl w:val="7AC0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DB"/>
    <w:rsid w:val="00114DCA"/>
    <w:rsid w:val="00122137"/>
    <w:rsid w:val="00125405"/>
    <w:rsid w:val="00133166"/>
    <w:rsid w:val="00137FBB"/>
    <w:rsid w:val="001B0541"/>
    <w:rsid w:val="001C20B0"/>
    <w:rsid w:val="001E2079"/>
    <w:rsid w:val="00234DE1"/>
    <w:rsid w:val="002544F5"/>
    <w:rsid w:val="002F5925"/>
    <w:rsid w:val="00330B17"/>
    <w:rsid w:val="00344CBC"/>
    <w:rsid w:val="0042051A"/>
    <w:rsid w:val="00456C58"/>
    <w:rsid w:val="004C77AD"/>
    <w:rsid w:val="00523FC0"/>
    <w:rsid w:val="00534632"/>
    <w:rsid w:val="005D6AEC"/>
    <w:rsid w:val="006157A7"/>
    <w:rsid w:val="00663440"/>
    <w:rsid w:val="006714F6"/>
    <w:rsid w:val="006B472A"/>
    <w:rsid w:val="00796630"/>
    <w:rsid w:val="007B01DF"/>
    <w:rsid w:val="007D396F"/>
    <w:rsid w:val="00802CD5"/>
    <w:rsid w:val="008034DB"/>
    <w:rsid w:val="0081009A"/>
    <w:rsid w:val="00816275"/>
    <w:rsid w:val="008940DC"/>
    <w:rsid w:val="008A31C4"/>
    <w:rsid w:val="008F6121"/>
    <w:rsid w:val="00901C51"/>
    <w:rsid w:val="009A2EBA"/>
    <w:rsid w:val="009B04D2"/>
    <w:rsid w:val="00A943AE"/>
    <w:rsid w:val="00AA47F7"/>
    <w:rsid w:val="00AE5E72"/>
    <w:rsid w:val="00AF491A"/>
    <w:rsid w:val="00B17E10"/>
    <w:rsid w:val="00C17C89"/>
    <w:rsid w:val="00C7571D"/>
    <w:rsid w:val="00C81518"/>
    <w:rsid w:val="00CA24B9"/>
    <w:rsid w:val="00CC2D0C"/>
    <w:rsid w:val="00D32EBD"/>
    <w:rsid w:val="00D71232"/>
    <w:rsid w:val="00DC4881"/>
    <w:rsid w:val="00DF344A"/>
    <w:rsid w:val="00E0281D"/>
    <w:rsid w:val="00E12BEE"/>
    <w:rsid w:val="00E2430F"/>
    <w:rsid w:val="00E9508F"/>
    <w:rsid w:val="00F1000C"/>
    <w:rsid w:val="00F1543F"/>
    <w:rsid w:val="00F27877"/>
    <w:rsid w:val="00F57492"/>
    <w:rsid w:val="00F70AEB"/>
    <w:rsid w:val="00FD531C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11941-E8F0-41A0-BD4A-E1D28B17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D5"/>
  </w:style>
  <w:style w:type="paragraph" w:styleId="Footer">
    <w:name w:val="footer"/>
    <w:basedOn w:val="Normal"/>
    <w:link w:val="FooterChar"/>
    <w:uiPriority w:val="99"/>
    <w:unhideWhenUsed/>
    <w:rsid w:val="0080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Lisa O'Neill</cp:lastModifiedBy>
  <cp:revision>2</cp:revision>
  <dcterms:created xsi:type="dcterms:W3CDTF">2020-01-29T13:10:00Z</dcterms:created>
  <dcterms:modified xsi:type="dcterms:W3CDTF">2020-01-29T13:10:00Z</dcterms:modified>
</cp:coreProperties>
</file>